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1A9B7" w14:textId="77777777" w:rsidR="005814AC" w:rsidRDefault="005814AC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304C88A0" w14:textId="77777777" w:rsidR="00BA719F" w:rsidRDefault="00BA719F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322379F" w14:textId="77777777" w:rsidR="00BA719F" w:rsidRDefault="00BA719F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6A0F3BDF" w14:textId="5408C7B1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José Luis Cipolletti, </w:t>
      </w:r>
    </w:p>
    <w:p w14:paraId="6578C30F" w14:textId="43A312B0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Head </w:t>
      </w:r>
      <w:r w:rsidR="007B35C3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>P</w:t>
      </w: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rosecutor, UFI n°1, </w:t>
      </w:r>
      <w:proofErr w:type="spellStart"/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>Departamental</w:t>
      </w:r>
      <w:proofErr w:type="spellEnd"/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>Necochea</w:t>
      </w:r>
      <w:proofErr w:type="spellEnd"/>
    </w:p>
    <w:p w14:paraId="303CA805" w14:textId="315537A8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>Public Prosecutor's Office of the Province of Buenos Aires</w:t>
      </w:r>
      <w:r w:rsidRPr="000D4E1B">
        <w:rPr>
          <w:rFonts w:ascii="Arial" w:eastAsia="MS Mincho" w:hAnsi="Arial" w:cs="Arial"/>
          <w:i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2206A196" w14:textId="186F75EB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Avenida 75, 371, Necochea, PBA, CP: 7630 </w:t>
      </w: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ab/>
        <w:t xml:space="preserve">         ARGENTINA</w:t>
      </w:r>
    </w:p>
    <w:p w14:paraId="6BE6902F" w14:textId="77777777" w:rsid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7365031" w14:textId="77777777" w:rsid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2BC8BE7" w14:textId="77777777" w:rsidR="00BA719F" w:rsidRPr="000D4E1B" w:rsidRDefault="00BA719F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49AF17AE" w14:textId="070B7C8F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  <w:t>Dear Head Prosecutor,</w:t>
      </w:r>
    </w:p>
    <w:p w14:paraId="5D2C4AAC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73987DF" w14:textId="228634C1" w:rsidR="000D4E1B" w:rsidRPr="000D4E1B" w:rsidRDefault="00BA719F" w:rsidP="000D4E1B">
      <w:pPr>
        <w:widowControl w:val="0"/>
        <w:suppressAutoHyphens/>
        <w:spacing w:after="0" w:line="240" w:lineRule="auto"/>
        <w:ind w:left="-283"/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I am 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writing to you from England. 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I am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concerned 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to hear about the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prosecution of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Pierina</w:t>
      </w:r>
      <w:proofErr w:type="spellEnd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Nochetti</w:t>
      </w:r>
      <w:proofErr w:type="spellEnd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on charges of “aggravated damage”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. She is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alleged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to have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painted 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graffiti 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on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a public wall with the question “Where is </w:t>
      </w:r>
      <w:proofErr w:type="spellStart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Tehuel</w:t>
      </w:r>
      <w:proofErr w:type="spellEnd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?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”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Pierina</w:t>
      </w:r>
      <w:proofErr w:type="spellEnd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Nochetti</w:t>
      </w:r>
      <w:proofErr w:type="spellEnd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is one of many campaigning over the disappearance of a young </w:t>
      </w:r>
      <w:proofErr w:type="gramStart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trans</w:t>
      </w:r>
      <w:proofErr w:type="gramEnd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man, </w:t>
      </w:r>
      <w:proofErr w:type="spellStart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Tehuel</w:t>
      </w:r>
      <w:proofErr w:type="spellEnd"/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de la Torre, last seen on 11 March 2021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on his way to a job interview</w:t>
      </w:r>
      <w:r w:rsid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451E3241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27AC2F4" w14:textId="4FE4A8F3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proofErr w:type="spellStart"/>
      <w:r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Pierina</w:t>
      </w:r>
      <w:proofErr w:type="spellEnd"/>
      <w:r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Nochatti</w:t>
      </w:r>
      <w:proofErr w:type="spellEnd"/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is an artist, educator, mother of three </w:t>
      </w:r>
      <w:r w:rsidR="00BA719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children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and the main provider for her family. She is also an employee of the local government, where she has</w:t>
      </w:r>
      <w:r w:rsidRPr="000D4E1B" w:rsidDel="00512AD3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already faced administrative reprisals for her activism</w:t>
      </w:r>
      <w:r w:rsidRPr="000D4E1B" w:rsidDel="00001C03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during the 2022 Pride Parade. </w:t>
      </w:r>
      <w:r w:rsidR="008D02BD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Noone else has been charged with painting graffiti on 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the same wall, which include</w:t>
      </w:r>
      <w:r w:rsidR="008D02BD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s</w:t>
      </w:r>
      <w:r w:rsidR="00BA719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several</w:t>
      </w: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hateful messages</w:t>
      </w:r>
      <w:r w:rsidR="008D02BD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. </w:t>
      </w:r>
      <w:r w:rsidR="00BA719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I am</w:t>
      </w:r>
      <w:bookmarkStart w:id="0" w:name="_GoBack"/>
      <w:bookmarkEnd w:id="0"/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concerned that she is being targeted for her activism in support of LGBTI+ rights, as well as for her gender identity, gender expression and sexual orientation. </w:t>
      </w:r>
      <w:proofErr w:type="spellStart"/>
      <w:r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Pierina</w:t>
      </w:r>
      <w:proofErr w:type="spellEnd"/>
      <w:r w:rsidR="008D02BD" w:rsidRPr="008D02BD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8D02BD" w:rsidRPr="008D02BD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Nochatti</w:t>
      </w:r>
      <w:proofErr w:type="spellEnd"/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is at greater risk of discrimination due to her identity.</w:t>
      </w:r>
    </w:p>
    <w:p w14:paraId="2A95CE3A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0155AC4" w14:textId="5DF6148C" w:rsidR="000D4E1B" w:rsidRPr="000D4E1B" w:rsidRDefault="000308BF" w:rsidP="000D4E1B">
      <w:pPr>
        <w:widowControl w:val="0"/>
        <w:suppressAutoHyphens/>
        <w:spacing w:after="0" w:line="240" w:lineRule="auto"/>
        <w:ind w:left="-283"/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308B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Argentina is a party to various international human rights treaties that protect the right to freedom of expression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. This</w:t>
      </w:r>
      <w:r w:rsidRPr="000308B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includ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es</w:t>
      </w:r>
      <w:r w:rsidRPr="000308BF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the International Covenant on Civil and Political Rights (ICCPR) and the American Convention on Human Rights.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0308BF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R</w:t>
      </w:r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estrictions to the right to freedom of expression</w:t>
      </w:r>
      <w:r w:rsidRPr="000308BF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need</w:t>
      </w:r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to be clearly established in law, and to be necessary and proportionate to a legitimate aim.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Charging someone for 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allegedly painting graffiti </w:t>
      </w:r>
      <w:r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o</w:t>
      </w:r>
      <w:r w:rsidR="000D4E1B"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n a public wall seems to be an unnecessary and disproportionate sanction. </w:t>
      </w:r>
    </w:p>
    <w:p w14:paraId="5E47E6EB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772BDC9" w14:textId="726B8D2E" w:rsidR="000D4E1B" w:rsidRPr="000D4E1B" w:rsidRDefault="00BA719F" w:rsidP="000D4E1B">
      <w:pPr>
        <w:widowControl w:val="0"/>
        <w:suppressAutoHyphens/>
        <w:spacing w:after="0" w:line="240" w:lineRule="auto"/>
        <w:ind w:left="-283"/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I</w:t>
      </w:r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call on you to drop the charge of “aggravated damage” against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Pierina</w:t>
      </w:r>
      <w:proofErr w:type="spellEnd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>Nochetti</w:t>
      </w:r>
      <w:proofErr w:type="spellEnd"/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as it appears to be</w:t>
      </w:r>
      <w:r w:rsidR="000D4E1B" w:rsidRPr="000D4E1B" w:rsidDel="002F56BA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0D4E1B" w:rsidRPr="000D4E1B">
        <w:rPr>
          <w:rFonts w:ascii="Arial" w:eastAsia="Amnesty Trade Gothic" w:hAnsi="Arial" w:cs="Arial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an unnecessary and disproportionate restriction on the right to freedom of expression. </w:t>
      </w:r>
    </w:p>
    <w:p w14:paraId="57E77786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5E12FA9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jc w:val="both"/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0AEE5A63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jc w:val="both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  <w:r w:rsidRPr="000D4E1B">
        <w:rPr>
          <w:rFonts w:ascii="Arial" w:eastAsia="Amnesty Trade Gothic" w:hAnsi="Arial" w:cs="Arial"/>
          <w:color w:val="000000"/>
          <w:kern w:val="0"/>
          <w:sz w:val="24"/>
          <w:szCs w:val="24"/>
          <w:lang w:eastAsia="ar-SA"/>
          <w14:ligatures w14:val="none"/>
        </w:rPr>
        <w:t>Yours sincerely,</w:t>
      </w:r>
    </w:p>
    <w:p w14:paraId="750E4255" w14:textId="77777777" w:rsidR="000D4E1B" w:rsidRP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3F13A3D3" w14:textId="77777777" w:rsidR="000D4E1B" w:rsidRDefault="000D4E1B" w:rsidP="000D4E1B">
      <w:pPr>
        <w:widowControl w:val="0"/>
        <w:suppressAutoHyphens/>
        <w:spacing w:after="0" w:line="240" w:lineRule="auto"/>
        <w:ind w:left="-283"/>
        <w:rPr>
          <w:rFonts w:ascii="Arial" w:eastAsia="MS Mincho" w:hAnsi="Arial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749EBB79" w14:textId="77777777" w:rsidR="00C16F87" w:rsidRPr="000D4E1B" w:rsidRDefault="00C16F87">
      <w:pPr>
        <w:rPr>
          <w:rFonts w:ascii="Arial" w:hAnsi="Arial" w:cs="Arial"/>
          <w:sz w:val="24"/>
          <w:szCs w:val="24"/>
        </w:rPr>
      </w:pPr>
    </w:p>
    <w:sectPr w:rsidR="00C16F87" w:rsidRPr="000D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2A"/>
    <w:rsid w:val="000308BF"/>
    <w:rsid w:val="000D4E1B"/>
    <w:rsid w:val="005814AC"/>
    <w:rsid w:val="007B35C3"/>
    <w:rsid w:val="008D02BD"/>
    <w:rsid w:val="0090232A"/>
    <w:rsid w:val="0097779D"/>
    <w:rsid w:val="00B33DAF"/>
    <w:rsid w:val="00BA719F"/>
    <w:rsid w:val="00C16F87"/>
    <w:rsid w:val="00D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B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Rogers</dc:creator>
  <cp:lastModifiedBy>David Rogers</cp:lastModifiedBy>
  <cp:revision>2</cp:revision>
  <dcterms:created xsi:type="dcterms:W3CDTF">2024-06-02T12:59:00Z</dcterms:created>
  <dcterms:modified xsi:type="dcterms:W3CDTF">2024-06-02T12:59:00Z</dcterms:modified>
</cp:coreProperties>
</file>